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3EF844" w14:textId="77777777" w:rsidR="004C29AD" w:rsidRDefault="004C29AD" w:rsidP="004C29AD">
      <w:pPr>
        <w:pStyle w:val="NormalWeb"/>
        <w:spacing w:before="0" w:beforeAutospacing="0" w:after="0" w:afterAutospacing="0"/>
        <w:rPr>
          <w:rFonts w:ascii="Helvetica Neue" w:hAnsi="Helvetica Neue"/>
          <w:color w:val="000000"/>
          <w:sz w:val="17"/>
          <w:szCs w:val="17"/>
        </w:rPr>
      </w:pPr>
      <w:r>
        <w:rPr>
          <w:rFonts w:ascii="inherit" w:hAnsi="inherit"/>
          <w:color w:val="000000"/>
          <w:sz w:val="17"/>
          <w:szCs w:val="17"/>
          <w:bdr w:val="none" w:sz="0" w:space="0" w:color="auto" w:frame="1"/>
        </w:rPr>
        <w:t xml:space="preserve">These core measures are providing a standard of care for treatment of an acute MI patient and their continuation of care upon discharge. It is important that evidence based research is being used to provide the best treatment for these and every patient. These are the recommendations for proper care and implementation must be seen. Without proper implementation of these core measures, then the standards are not being provided. There are times when there must be changes made to the core measures due to patient specific cases. If a patient is allergic to a medication on the core measure list, it cannot be given. Sometimes substitutions can be made, sometimes not. Proper measurements must also be enforced of the actually situation. If proper measurements of the patient </w:t>
      </w:r>
      <w:proofErr w:type="gramStart"/>
      <w:r>
        <w:rPr>
          <w:rFonts w:ascii="inherit" w:hAnsi="inherit"/>
          <w:color w:val="000000"/>
          <w:sz w:val="17"/>
          <w:szCs w:val="17"/>
          <w:bdr w:val="none" w:sz="0" w:space="0" w:color="auto" w:frame="1"/>
        </w:rPr>
        <w:t>is</w:t>
      </w:r>
      <w:proofErr w:type="gramEnd"/>
      <w:r>
        <w:rPr>
          <w:rFonts w:ascii="inherit" w:hAnsi="inherit"/>
          <w:color w:val="000000"/>
          <w:sz w:val="17"/>
          <w:szCs w:val="17"/>
          <w:bdr w:val="none" w:sz="0" w:space="0" w:color="auto" w:frame="1"/>
        </w:rPr>
        <w:t xml:space="preserve"> not completed, then improper treatment might not be seen. Proper evaluation by nurses, medics, doctors all must be done. If the patient presents with chest pain, and AMI is suspected, other testing must be completed. It could be other </w:t>
      </w:r>
      <w:proofErr w:type="gramStart"/>
      <w:r>
        <w:rPr>
          <w:rFonts w:ascii="inherit" w:hAnsi="inherit"/>
          <w:color w:val="000000"/>
          <w:sz w:val="17"/>
          <w:szCs w:val="17"/>
          <w:bdr w:val="none" w:sz="0" w:space="0" w:color="auto" w:frame="1"/>
        </w:rPr>
        <w:t>diagnosis's</w:t>
      </w:r>
      <w:proofErr w:type="gramEnd"/>
      <w:r>
        <w:rPr>
          <w:rFonts w:ascii="inherit" w:hAnsi="inherit"/>
          <w:color w:val="000000"/>
          <w:sz w:val="17"/>
          <w:szCs w:val="17"/>
          <w:bdr w:val="none" w:sz="0" w:space="0" w:color="auto" w:frame="1"/>
        </w:rPr>
        <w:t xml:space="preserve"> besides an AMI. Non-</w:t>
      </w:r>
      <w:proofErr w:type="gramStart"/>
      <w:r>
        <w:rPr>
          <w:rFonts w:ascii="inherit" w:hAnsi="inherit"/>
          <w:color w:val="000000"/>
          <w:sz w:val="17"/>
          <w:szCs w:val="17"/>
          <w:bdr w:val="none" w:sz="0" w:space="0" w:color="auto" w:frame="1"/>
        </w:rPr>
        <w:t>life threatening</w:t>
      </w:r>
      <w:proofErr w:type="gramEnd"/>
      <w:r>
        <w:rPr>
          <w:rFonts w:ascii="inherit" w:hAnsi="inherit"/>
          <w:color w:val="000000"/>
          <w:sz w:val="17"/>
          <w:szCs w:val="17"/>
          <w:bdr w:val="none" w:sz="0" w:space="0" w:color="auto" w:frame="1"/>
        </w:rPr>
        <w:t xml:space="preserve"> angina must be excluded as does acid reflux. One does not want to receive treatment that is not needed. </w:t>
      </w:r>
    </w:p>
    <w:p w14:paraId="75C7392B" w14:textId="77777777" w:rsidR="004C29AD" w:rsidRDefault="004C29AD" w:rsidP="004C29AD">
      <w:pPr>
        <w:pStyle w:val="NormalWeb"/>
        <w:spacing w:before="0" w:beforeAutospacing="0" w:after="0" w:afterAutospacing="0"/>
        <w:rPr>
          <w:rStyle w:val="apple-converted-space"/>
          <w:rFonts w:ascii="inherit" w:hAnsi="inherit"/>
          <w:color w:val="000000"/>
          <w:sz w:val="17"/>
          <w:szCs w:val="17"/>
          <w:bdr w:val="none" w:sz="0" w:space="0" w:color="auto" w:frame="1"/>
        </w:rPr>
      </w:pPr>
      <w:r>
        <w:rPr>
          <w:rStyle w:val="apple-tab-span"/>
          <w:rFonts w:ascii="inherit" w:hAnsi="inherit"/>
          <w:color w:val="000000"/>
          <w:sz w:val="17"/>
          <w:szCs w:val="17"/>
          <w:bdr w:val="none" w:sz="0" w:space="0" w:color="auto" w:frame="1"/>
        </w:rPr>
        <w:t xml:space="preserve"> </w:t>
      </w:r>
      <w:r>
        <w:rPr>
          <w:rFonts w:ascii="inherit" w:hAnsi="inherit"/>
          <w:color w:val="000000"/>
          <w:sz w:val="17"/>
          <w:szCs w:val="17"/>
          <w:bdr w:val="none" w:sz="0" w:space="0" w:color="auto" w:frame="1"/>
        </w:rPr>
        <w:t xml:space="preserve">An important role for a primary/preventative care nurse to reduce risk factors of the development of ACS is education. It is important to educate the public on what ACS is and how to slow or prevent it from starting. </w:t>
      </w:r>
      <w:proofErr w:type="gramStart"/>
      <w:r>
        <w:rPr>
          <w:rFonts w:ascii="inherit" w:hAnsi="inherit"/>
          <w:color w:val="000000"/>
          <w:sz w:val="17"/>
          <w:szCs w:val="17"/>
          <w:bdr w:val="none" w:sz="0" w:space="0" w:color="auto" w:frame="1"/>
        </w:rPr>
        <w:t>Unfortunately</w:t>
      </w:r>
      <w:proofErr w:type="gramEnd"/>
      <w:r>
        <w:rPr>
          <w:rFonts w:ascii="inherit" w:hAnsi="inherit"/>
          <w:color w:val="000000"/>
          <w:sz w:val="17"/>
          <w:szCs w:val="17"/>
          <w:bdr w:val="none" w:sz="0" w:space="0" w:color="auto" w:frame="1"/>
        </w:rPr>
        <w:t xml:space="preserve"> it is difficult to force anyone to do anything. Through proper education and perhaps hands on experiences, patients can understand the real risks of ACS. Changing someone’s behavior is extremely difficult, but the public consists of all ages. Trying to educate a person in the geriatric community change their routine, is nearly impossible. When a task has been completed for so many years, it is hard to alter it. Added a medication to a simple routine is easier than taking away from it. It could be easier to educate children and younger adults in proper eating, limiting stress, and proper exercise. This way, before ACS is even a thought, they have already prevented it. Healthy living can prevent a lot of diseases and nurses have a strong influence in educating the public on that.</w:t>
      </w:r>
      <w:r>
        <w:rPr>
          <w:rStyle w:val="apple-converted-space"/>
          <w:rFonts w:ascii="inherit" w:hAnsi="inherit"/>
          <w:color w:val="000000"/>
          <w:sz w:val="17"/>
          <w:szCs w:val="17"/>
          <w:bdr w:val="none" w:sz="0" w:space="0" w:color="auto" w:frame="1"/>
        </w:rPr>
        <w:t> </w:t>
      </w:r>
    </w:p>
    <w:p w14:paraId="76E9191C" w14:textId="77777777" w:rsidR="004C29AD" w:rsidRDefault="004C29AD" w:rsidP="004C29AD">
      <w:pPr>
        <w:pStyle w:val="NormalWeb"/>
        <w:spacing w:before="0" w:beforeAutospacing="0" w:after="0" w:afterAutospacing="0"/>
        <w:rPr>
          <w:rStyle w:val="apple-converted-space"/>
          <w:rFonts w:ascii="inherit" w:hAnsi="inherit"/>
          <w:color w:val="000000"/>
          <w:sz w:val="17"/>
          <w:szCs w:val="17"/>
          <w:bdr w:val="none" w:sz="0" w:space="0" w:color="auto" w:frame="1"/>
        </w:rPr>
      </w:pPr>
    </w:p>
    <w:p w14:paraId="677535FD" w14:textId="77777777" w:rsidR="004C29AD" w:rsidRDefault="004C29AD" w:rsidP="004C29AD">
      <w:pPr>
        <w:pStyle w:val="NormalWeb"/>
        <w:spacing w:before="0" w:beforeAutospacing="0" w:after="0" w:afterAutospacing="0"/>
        <w:rPr>
          <w:rStyle w:val="apple-converted-space"/>
          <w:rFonts w:ascii="inherit" w:hAnsi="inherit"/>
          <w:color w:val="000000"/>
          <w:sz w:val="17"/>
          <w:szCs w:val="17"/>
          <w:bdr w:val="none" w:sz="0" w:space="0" w:color="auto" w:frame="1"/>
        </w:rPr>
      </w:pPr>
    </w:p>
    <w:p w14:paraId="16A51DA1" w14:textId="77777777" w:rsidR="004C29AD" w:rsidRDefault="004C29AD" w:rsidP="004C29AD">
      <w:pPr>
        <w:pStyle w:val="NormalWeb"/>
        <w:spacing w:before="0" w:beforeAutospacing="0" w:after="0" w:afterAutospacing="0"/>
        <w:rPr>
          <w:rStyle w:val="apple-converted-space"/>
          <w:rFonts w:ascii="inherit" w:hAnsi="inherit"/>
          <w:color w:val="000000"/>
          <w:sz w:val="17"/>
          <w:szCs w:val="17"/>
          <w:bdr w:val="none" w:sz="0" w:space="0" w:color="auto" w:frame="1"/>
        </w:rPr>
      </w:pPr>
    </w:p>
    <w:p w14:paraId="576E607C" w14:textId="77777777" w:rsidR="004C29AD" w:rsidRDefault="004C29AD" w:rsidP="004C29AD">
      <w:pPr>
        <w:pStyle w:val="NormalWeb"/>
        <w:spacing w:before="0" w:beforeAutospacing="0" w:after="0" w:afterAutospacing="0"/>
        <w:rPr>
          <w:rFonts w:ascii="Helvetica Neue" w:hAnsi="Helvetica Neue"/>
          <w:color w:val="000000"/>
          <w:sz w:val="17"/>
          <w:szCs w:val="17"/>
        </w:rPr>
      </w:pPr>
      <w:bookmarkStart w:id="0" w:name="_GoBack"/>
      <w:bookmarkEnd w:id="0"/>
    </w:p>
    <w:p w14:paraId="40785B53" w14:textId="77777777" w:rsidR="004C29AD" w:rsidRDefault="004C29AD" w:rsidP="004C29AD">
      <w:pPr>
        <w:pStyle w:val="NormalWeb"/>
        <w:spacing w:before="0" w:beforeAutospacing="0" w:after="0" w:afterAutospacing="0"/>
        <w:rPr>
          <w:rFonts w:ascii="Helvetica Neue" w:hAnsi="Helvetica Neue"/>
          <w:color w:val="000000"/>
          <w:sz w:val="17"/>
          <w:szCs w:val="17"/>
        </w:rPr>
      </w:pPr>
      <w:r>
        <w:rPr>
          <w:rFonts w:ascii="inherit" w:hAnsi="inherit"/>
          <w:color w:val="000000"/>
          <w:sz w:val="17"/>
          <w:szCs w:val="17"/>
          <w:bdr w:val="none" w:sz="0" w:space="0" w:color="auto" w:frame="1"/>
        </w:rPr>
        <w:t>Goran, M. I., Reynolds, K. D., &amp; Lindquist, C. H. (1999). Role of physical activity in the prevention of obesity in children.</w:t>
      </w:r>
      <w:r>
        <w:rPr>
          <w:rStyle w:val="apple-converted-space"/>
          <w:rFonts w:ascii="inherit" w:hAnsi="inherit"/>
          <w:color w:val="000000"/>
          <w:sz w:val="17"/>
          <w:szCs w:val="17"/>
          <w:bdr w:val="none" w:sz="0" w:space="0" w:color="auto" w:frame="1"/>
        </w:rPr>
        <w:t> </w:t>
      </w:r>
      <w:r>
        <w:rPr>
          <w:rFonts w:ascii="Helvetica" w:hAnsi="Helvetica"/>
          <w:i/>
          <w:iCs/>
          <w:color w:val="000000"/>
          <w:sz w:val="17"/>
          <w:szCs w:val="17"/>
          <w:bdr w:val="none" w:sz="0" w:space="0" w:color="auto" w:frame="1"/>
        </w:rPr>
        <w:t>International journal of obesity</w:t>
      </w:r>
      <w:r>
        <w:rPr>
          <w:rFonts w:ascii="inherit" w:hAnsi="inherit"/>
          <w:color w:val="000000"/>
          <w:sz w:val="17"/>
          <w:szCs w:val="17"/>
          <w:bdr w:val="none" w:sz="0" w:space="0" w:color="auto" w:frame="1"/>
        </w:rPr>
        <w:t>,</w:t>
      </w:r>
      <w:r>
        <w:rPr>
          <w:rStyle w:val="apple-converted-space"/>
          <w:rFonts w:ascii="inherit" w:hAnsi="inherit"/>
          <w:color w:val="000000"/>
          <w:sz w:val="17"/>
          <w:szCs w:val="17"/>
          <w:bdr w:val="none" w:sz="0" w:space="0" w:color="auto" w:frame="1"/>
        </w:rPr>
        <w:t> </w:t>
      </w:r>
      <w:r>
        <w:rPr>
          <w:rFonts w:ascii="Helvetica" w:hAnsi="Helvetica"/>
          <w:i/>
          <w:iCs/>
          <w:color w:val="000000"/>
          <w:sz w:val="17"/>
          <w:szCs w:val="17"/>
          <w:bdr w:val="none" w:sz="0" w:space="0" w:color="auto" w:frame="1"/>
        </w:rPr>
        <w:t>23</w:t>
      </w:r>
      <w:r>
        <w:rPr>
          <w:rFonts w:ascii="inherit" w:hAnsi="inherit"/>
          <w:color w:val="000000"/>
          <w:sz w:val="17"/>
          <w:szCs w:val="17"/>
          <w:bdr w:val="none" w:sz="0" w:space="0" w:color="auto" w:frame="1"/>
        </w:rPr>
        <w:t>(S3), S18.</w:t>
      </w:r>
    </w:p>
    <w:p w14:paraId="645456AB" w14:textId="77777777" w:rsidR="004C29AD" w:rsidRDefault="004C29AD" w:rsidP="004C29AD">
      <w:pPr>
        <w:pStyle w:val="NormalWeb"/>
        <w:spacing w:before="0" w:beforeAutospacing="0" w:after="0" w:afterAutospacing="0"/>
        <w:rPr>
          <w:rFonts w:ascii="Helvetica Neue" w:hAnsi="Helvetica Neue"/>
          <w:color w:val="000000"/>
          <w:sz w:val="17"/>
          <w:szCs w:val="17"/>
        </w:rPr>
      </w:pPr>
      <w:r>
        <w:rPr>
          <w:rFonts w:ascii="inherit" w:hAnsi="inherit"/>
          <w:color w:val="000000"/>
          <w:sz w:val="17"/>
          <w:szCs w:val="17"/>
          <w:bdr w:val="none" w:sz="0" w:space="0" w:color="auto" w:frame="1"/>
        </w:rPr>
        <w:t xml:space="preserve">Davis, B. R., Cutler, J. A., Gordon, D. J., </w:t>
      </w:r>
      <w:proofErr w:type="spellStart"/>
      <w:r>
        <w:rPr>
          <w:rFonts w:ascii="inherit" w:hAnsi="inherit"/>
          <w:color w:val="000000"/>
          <w:sz w:val="17"/>
          <w:szCs w:val="17"/>
          <w:bdr w:val="none" w:sz="0" w:space="0" w:color="auto" w:frame="1"/>
        </w:rPr>
        <w:t>Furberg</w:t>
      </w:r>
      <w:proofErr w:type="spellEnd"/>
      <w:r>
        <w:rPr>
          <w:rFonts w:ascii="inherit" w:hAnsi="inherit"/>
          <w:color w:val="000000"/>
          <w:sz w:val="17"/>
          <w:szCs w:val="17"/>
          <w:bdr w:val="none" w:sz="0" w:space="0" w:color="auto" w:frame="1"/>
        </w:rPr>
        <w:t>, C. D., Wright Jr, J. T., Cushman, W. C., ... &amp; Alderman, M. H. (1996). Rationale and design for the antihypertensive and lipid lowering treatment to prevent heart attack trial (ALLHAT).</w:t>
      </w:r>
      <w:r>
        <w:rPr>
          <w:rStyle w:val="apple-converted-space"/>
          <w:rFonts w:ascii="inherit" w:hAnsi="inherit"/>
          <w:color w:val="000000"/>
          <w:sz w:val="17"/>
          <w:szCs w:val="17"/>
          <w:bdr w:val="none" w:sz="0" w:space="0" w:color="auto" w:frame="1"/>
        </w:rPr>
        <w:t> </w:t>
      </w:r>
      <w:r>
        <w:rPr>
          <w:rFonts w:ascii="Helvetica" w:hAnsi="Helvetica"/>
          <w:i/>
          <w:iCs/>
          <w:color w:val="000000"/>
          <w:sz w:val="17"/>
          <w:szCs w:val="17"/>
          <w:bdr w:val="none" w:sz="0" w:space="0" w:color="auto" w:frame="1"/>
        </w:rPr>
        <w:t>American journal of hypertension</w:t>
      </w:r>
      <w:r>
        <w:rPr>
          <w:rFonts w:ascii="inherit" w:hAnsi="inherit"/>
          <w:color w:val="000000"/>
          <w:sz w:val="17"/>
          <w:szCs w:val="17"/>
          <w:bdr w:val="none" w:sz="0" w:space="0" w:color="auto" w:frame="1"/>
        </w:rPr>
        <w:t>,</w:t>
      </w:r>
      <w:r>
        <w:rPr>
          <w:rStyle w:val="apple-converted-space"/>
          <w:rFonts w:ascii="inherit" w:hAnsi="inherit"/>
          <w:color w:val="000000"/>
          <w:sz w:val="17"/>
          <w:szCs w:val="17"/>
          <w:bdr w:val="none" w:sz="0" w:space="0" w:color="auto" w:frame="1"/>
        </w:rPr>
        <w:t> </w:t>
      </w:r>
      <w:r>
        <w:rPr>
          <w:rFonts w:ascii="Helvetica" w:hAnsi="Helvetica"/>
          <w:i/>
          <w:iCs/>
          <w:color w:val="000000"/>
          <w:sz w:val="17"/>
          <w:szCs w:val="17"/>
          <w:bdr w:val="none" w:sz="0" w:space="0" w:color="auto" w:frame="1"/>
        </w:rPr>
        <w:t>9</w:t>
      </w:r>
      <w:r>
        <w:rPr>
          <w:rFonts w:ascii="inherit" w:hAnsi="inherit"/>
          <w:color w:val="000000"/>
          <w:sz w:val="17"/>
          <w:szCs w:val="17"/>
          <w:bdr w:val="none" w:sz="0" w:space="0" w:color="auto" w:frame="1"/>
        </w:rPr>
        <w:t>(4), 342-360.</w:t>
      </w:r>
    </w:p>
    <w:p w14:paraId="128DBDF5" w14:textId="77777777" w:rsidR="004C29AD" w:rsidRDefault="004C29AD" w:rsidP="004C29AD">
      <w:pPr>
        <w:pStyle w:val="NormalWeb"/>
        <w:spacing w:before="0" w:beforeAutospacing="0" w:after="0" w:afterAutospacing="0"/>
        <w:rPr>
          <w:rFonts w:ascii="Helvetica Neue" w:hAnsi="Helvetica Neue"/>
          <w:color w:val="000000"/>
          <w:sz w:val="17"/>
          <w:szCs w:val="17"/>
        </w:rPr>
      </w:pPr>
      <w:r>
        <w:rPr>
          <w:rFonts w:ascii="inherit" w:hAnsi="inherit"/>
          <w:color w:val="000000"/>
          <w:sz w:val="17"/>
          <w:szCs w:val="17"/>
          <w:bdr w:val="none" w:sz="0" w:space="0" w:color="auto" w:frame="1"/>
        </w:rPr>
        <w:t xml:space="preserve">Wiles, R., &amp; </w:t>
      </w:r>
      <w:proofErr w:type="spellStart"/>
      <w:r>
        <w:rPr>
          <w:rFonts w:ascii="inherit" w:hAnsi="inherit"/>
          <w:color w:val="000000"/>
          <w:sz w:val="17"/>
          <w:szCs w:val="17"/>
          <w:bdr w:val="none" w:sz="0" w:space="0" w:color="auto" w:frame="1"/>
        </w:rPr>
        <w:t>Kinmonth</w:t>
      </w:r>
      <w:proofErr w:type="spellEnd"/>
      <w:r>
        <w:rPr>
          <w:rFonts w:ascii="inherit" w:hAnsi="inherit"/>
          <w:color w:val="000000"/>
          <w:sz w:val="17"/>
          <w:szCs w:val="17"/>
          <w:bdr w:val="none" w:sz="0" w:space="0" w:color="auto" w:frame="1"/>
        </w:rPr>
        <w:t>, A. L. (2001). Patients’ understandings of heart attack: implications for prevention of recurrence.</w:t>
      </w:r>
      <w:r>
        <w:rPr>
          <w:rStyle w:val="apple-converted-space"/>
          <w:rFonts w:ascii="inherit" w:hAnsi="inherit"/>
          <w:color w:val="000000"/>
          <w:sz w:val="17"/>
          <w:szCs w:val="17"/>
          <w:bdr w:val="none" w:sz="0" w:space="0" w:color="auto" w:frame="1"/>
        </w:rPr>
        <w:t> </w:t>
      </w:r>
      <w:r>
        <w:rPr>
          <w:rFonts w:ascii="Helvetica" w:hAnsi="Helvetica"/>
          <w:i/>
          <w:iCs/>
          <w:color w:val="000000"/>
          <w:sz w:val="17"/>
          <w:szCs w:val="17"/>
          <w:bdr w:val="none" w:sz="0" w:space="0" w:color="auto" w:frame="1"/>
        </w:rPr>
        <w:t>Patient education and counseling</w:t>
      </w:r>
      <w:r>
        <w:rPr>
          <w:rFonts w:ascii="inherit" w:hAnsi="inherit"/>
          <w:color w:val="000000"/>
          <w:sz w:val="17"/>
          <w:szCs w:val="17"/>
          <w:bdr w:val="none" w:sz="0" w:space="0" w:color="auto" w:frame="1"/>
        </w:rPr>
        <w:t>,</w:t>
      </w:r>
      <w:r>
        <w:rPr>
          <w:rStyle w:val="apple-converted-space"/>
          <w:rFonts w:ascii="inherit" w:hAnsi="inherit"/>
          <w:color w:val="000000"/>
          <w:sz w:val="17"/>
          <w:szCs w:val="17"/>
          <w:bdr w:val="none" w:sz="0" w:space="0" w:color="auto" w:frame="1"/>
        </w:rPr>
        <w:t> </w:t>
      </w:r>
      <w:r>
        <w:rPr>
          <w:rFonts w:ascii="Helvetica" w:hAnsi="Helvetica"/>
          <w:i/>
          <w:iCs/>
          <w:color w:val="000000"/>
          <w:sz w:val="17"/>
          <w:szCs w:val="17"/>
          <w:bdr w:val="none" w:sz="0" w:space="0" w:color="auto" w:frame="1"/>
        </w:rPr>
        <w:t>44</w:t>
      </w:r>
      <w:r>
        <w:rPr>
          <w:rFonts w:ascii="inherit" w:hAnsi="inherit"/>
          <w:color w:val="000000"/>
          <w:sz w:val="17"/>
          <w:szCs w:val="17"/>
          <w:bdr w:val="none" w:sz="0" w:space="0" w:color="auto" w:frame="1"/>
        </w:rPr>
        <w:t>(2), 161-169.</w:t>
      </w:r>
    </w:p>
    <w:p w14:paraId="62BD1FB1" w14:textId="77777777" w:rsidR="00A10C95" w:rsidRDefault="004C29AD"/>
    <w:sectPr w:rsidR="00A10C95" w:rsidSect="00890E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swiss"/>
    <w:pitch w:val="variable"/>
    <w:sig w:usb0="E50002FF" w:usb1="500079DB" w:usb2="00000010" w:usb3="00000000" w:csb0="00000001" w:csb1="00000000"/>
  </w:font>
  <w:font w:name="inherit">
    <w:altName w:val="Times New Roman"/>
    <w:panose1 w:val="00000000000000000000"/>
    <w:charset w:val="00"/>
    <w:family w:val="roman"/>
    <w:notTrueType/>
    <w:pitch w:val="default"/>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9AD"/>
    <w:rsid w:val="00005366"/>
    <w:rsid w:val="004C29AD"/>
    <w:rsid w:val="00890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4D1DE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C29AD"/>
    <w:pPr>
      <w:spacing w:before="100" w:beforeAutospacing="1" w:after="100" w:afterAutospacing="1"/>
    </w:pPr>
    <w:rPr>
      <w:rFonts w:ascii="Times New Roman" w:hAnsi="Times New Roman" w:cs="Times New Roman"/>
    </w:rPr>
  </w:style>
  <w:style w:type="character" w:customStyle="1" w:styleId="apple-tab-span">
    <w:name w:val="apple-tab-span"/>
    <w:basedOn w:val="DefaultParagraphFont"/>
    <w:rsid w:val="004C29AD"/>
  </w:style>
  <w:style w:type="character" w:customStyle="1" w:styleId="apple-converted-space">
    <w:name w:val="apple-converted-space"/>
    <w:basedOn w:val="DefaultParagraphFont"/>
    <w:rsid w:val="004C29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78735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422</Words>
  <Characters>2407</Characters>
  <Application>Microsoft Macintosh Word</Application>
  <DocSecurity>0</DocSecurity>
  <Lines>20</Lines>
  <Paragraphs>5</Paragraphs>
  <ScaleCrop>false</ScaleCrop>
  <LinksUpToDate>false</LinksUpToDate>
  <CharactersWithSpaces>2824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habibou maiga</dc:creator>
  <cp:keywords/>
  <dc:description/>
  <cp:lastModifiedBy>habibou maiga</cp:lastModifiedBy>
  <cp:revision>1</cp:revision>
  <dcterms:created xsi:type="dcterms:W3CDTF">2018-09-26T22:06:00Z</dcterms:created>
  <dcterms:modified xsi:type="dcterms:W3CDTF">2018-09-26T22:06:00Z</dcterms:modified>
</cp:coreProperties>
</file>